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NW_26895 (Nordrhein-Westfalen) — Entschädigung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 Satzung wird geregelt, welche Entschädigung die Delegierten der Delegiertenversammlung sowie die Mitglieder des Verbandsrates und des Spruchausschusses für die Ausübung ihrer Tätigkeit erhalten.</w:t>
      </w:r>
    </w:p>
    <w:p>
      <w:r>
        <w:t xml:space="preserve">Neunter Teil</w:t>
      </w:r>
    </w:p>
    <w:p>
      <w:r>
        <w:t xml:space="preserve">Ordnungsgewalt, Zwangsmaßnahmen</w:t>
      </w:r>
    </w:p>
    <w:p>
      <w:r>
        <w:rPr>
          <w:color w:val="555555"/>
          <w:sz w:val="17"/>
        </w:rPr>
        <w:t xml:space="preserve">Zitiervorschlag: § 45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