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NW_26895 (Nordrhein-Westfalen) — Kosten des Verfahrens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Kosten der Veranlagung und des Widerspruchsverfahrens trägt der Verband.</w:t>
      </w:r>
    </w:p>
    <w:p>
      <w:r>
        <w:t xml:space="preserve">(2) Soweit jedoch ein Widerspruch vom Spruchausschuss abgewiesen wird, hat dieser die Kosten des Verfahrens demjenigen aufzuerlegen, der den Widerspruch eingelegt hat. Er kann hiervon absehen, wenn dies der Billigkeit entspricht.</w:t>
      </w:r>
    </w:p>
    <w:p>
      <w:r>
        <w:t xml:space="preserve">(3) Für die Einziehung der Kosten sind die für die Einziehung der Beiträge geltenden Vorschriften anzuwenden.</w:t>
      </w:r>
    </w:p>
    <w:p>
      <w:r>
        <w:t xml:space="preserve">Achter Teil</w:t>
      </w:r>
    </w:p>
    <w:p>
      <w:r>
        <w:t xml:space="preserve">Entschädigung</w:t>
      </w:r>
    </w:p>
    <w:p>
      <w:r>
        <w:rPr>
          <w:color w:val="555555"/>
          <w:sz w:val="17"/>
        </w:rPr>
        <w:t xml:space="preserve">Zitiervorschlag: § 44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