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NW_26895 (Nordrhein-Westfalen) — Zusammenarbeitmit dem Braunkohlenausschuss</w:t>
      </w:r>
    </w:p>
    <w:p>
      <w:r>
        <w:rPr>
          <w:color w:val="555555"/>
          <w:sz w:val="18"/>
        </w:rPr>
        <w:t xml:space="preserve">ErftVG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Bevor die Bezirksplanungsbehörde einen vom Braunkohlenausschuss aufgestellten Plan der Landesplanungsbehörde zur Genehmigung vorlegt, hat der Braunkohlenausschuss das Benehmen mit dem Verband herzustellen, soweit dessen Aufgabengebiet berührt wird.</w:t>
      </w:r>
    </w:p>
    <w:p>
      <w:r>
        <w:t xml:space="preserve">(2) Die oder der Vorsitzende des Braunkohlenausschusses hat den Verband über die ihr oder ihm bekannten Planungen der Braunkohlenindustrie, soweit sie das Aufgabengebiet des Verbandes berühren, unverzüglich zu unterrichten.</w:t>
      </w:r>
    </w:p>
    <w:p>
      <w:r>
        <w:t xml:space="preserve">(3) Der Vorstand nimmt als Vertreter des Verbandes mit beratender Befugnis an den Sitzungen des Braunkohlenausschusses teil.</w:t>
      </w:r>
    </w:p>
    <w:p>
      <w:r>
        <w:t xml:space="preserve">Fünfter Teil</w:t>
      </w:r>
    </w:p>
    <w:p>
      <w:r>
        <w:t xml:space="preserve">Innere Verfassung</w:t>
      </w:r>
    </w:p>
    <w:p>
      <w:r>
        <w:rPr>
          <w:color w:val="555555"/>
          <w:sz w:val="17"/>
        </w:rPr>
        <w:t xml:space="preserve">Zitiervorschlag: § 12 NW_26895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https://recht.nulegal.eu/gesetze/NW_26895/12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