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NW_26886 (Nordrhein-Westfalen)</w:t>
      </w:r>
    </w:p>
    <w:p>
      <w:r>
        <w:rPr>
          <w:color w:val="555555"/>
          <w:sz w:val="18"/>
        </w:rPr>
        <w:t xml:space="preserve">Bekanntmachung des Verwaltungsabkommens über die Festsetzung eines Wasserschutzgebietes für die Trinkwassergewinnungsanlagen der Gemeinde Breidenbach, Ortsteile Achenbach und Kleingladenbach, im Landkreis Marburg-Biedenkopf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der Wasserschutzgebietsverordnung oder außerhalb des Verfahrens zur Festsetzung des Wasserschutzgebietes, jedoch im Zusammenhang mit ihm oder als dessen Folgen, sonstige Verwaltungstätigkeiten ergeben, sind die entsprechenden Aufgaben von den dafür nach Landesrecht jeweils zuständigen Behörden selbst wahrzunehmen.</w:t>
      </w:r>
    </w:p>
    <w:p>
      <w:r>
        <w:rPr>
          <w:color w:val="555555"/>
          <w:sz w:val="17"/>
        </w:rPr>
        <w:t xml:space="preserve">Zitiervorschlag: § 2 NW_26886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