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NW_26884 (Nordrhein-Westfalen)</w:t>
      </w:r>
    </w:p>
    <w:p>
      <w:r>
        <w:rPr>
          <w:color w:val="555555"/>
          <w:sz w:val="18"/>
        </w:rPr>
        <w:t xml:space="preserve">Bekanntmachung des Verwaltungsabkommens über die Festsetzung eines Heilquellenschutzgebietes für die staatlich anerkannte Heilquelle ,,Schloßbrunnen"in Arolsen im Landkreis Waldeck-Frankenberg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die Festsetzung und Änderung des Heilquellenschutzgebietes für die staatlich anerkannte Heilquelle ,,Schloßbrunnen" der Stadt Arolsen im Landkreis Waldeck-Frankenberg, dessen weitere Schutzzonen IV und D in die Gemarkung Canstein der Stadt Marsberg im Hochsauerlandkreis, Land Nordrhein-Westfalen, hineinragen, und für die Durchführung der erforderlichen Verfahren ist der Regierungspräsident in Kassel. Entsprechendes gilt für die Durchführung des Entschädigungsverfahrens.</w:t>
      </w:r>
    </w:p>
    <w:p>
      <w:r>
        <w:rPr>
          <w:color w:val="555555"/>
          <w:sz w:val="17"/>
        </w:rPr>
        <w:t xml:space="preserve">Zitiervorschlag: § 1 NW_26884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https://recht.nulegal.eu/gesetze/NW_26884/1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