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NW_26881 (Nordrhein-Westfalen)</w:t>
      </w:r>
    </w:p>
    <w:p>
      <w:r>
        <w:rPr>
          <w:color w:val="555555"/>
          <w:sz w:val="18"/>
        </w:rPr>
        <w:t xml:space="preserve">Bekanntmachung des Verwaltungsabkommens über die Festsetzung eines Wasserschutzgebietes für das Wasserwerk Fritz Emme im Landkreis Hameln-Pyrmont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Zuständige Behörde für die Festsetzung oder Änderung des Wasserschutzgebietes für das Wasserwerk Fritz Emme im Bereich der Stadt Bad Pyrmont, Landkreis Hameln-Pyrmont, und der Gemarkung Sonneborn, Gemeinde Barntrup, Kreis Lippe, und die Durchführung der dazu erforderlichen Verfahren ist der Regierungspräsident in Hannover. Dieser handelt unter Anwendung des in Nordrhein-Westfalen geltenden Rechts im Einvernehmen mit dem Regierungspräsidenten in Detmold, soweit sich das Wasserschutzgebiet auf Flächen im Land Nordrhein-Westfalen erstreckt. Entsprechendes gilt für die Durchführung eines Entschädigungsverfahrens.</w:t>
      </w:r>
    </w:p>
    <w:p>
      <w:r>
        <w:rPr>
          <w:color w:val="555555"/>
          <w:sz w:val="17"/>
        </w:rPr>
        <w:t xml:space="preserve">Zitiervorschlag: § 1 NW_26881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https://recht.nulegal.eu/gesetze/NW_26881/1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NW_26881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