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NW_26872 (Nordrhein-Westfalen)</w:t>
      </w:r>
    </w:p>
    <w:p>
      <w:r>
        <w:rPr>
          <w:color w:val="555555"/>
          <w:sz w:val="18"/>
        </w:rPr>
        <w:t xml:space="preserve">Bekanntmachung des Verwaltungsabkommens zwischen dem Land Nordrhein-Westfalen und dem Land Hessen über die Festsetzung eines Wasserschutzgebietes für die Trinkwassergewinnungsanlage der Gemeinde Bromskirchen im Landkreis 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Festsetzung oder Änderung des Wasserschutzgebietes für die Trinkwassergewinnungsanlage der Gemeinde Bromskirchen im Landkreis Frankenberg, dessen engere und weitere Schutzzone in die Gemarkung Hallenberg, Amt Hallenberg, Kreis Brilon, hineinragen, und für die Durchführung der dazu erforderlichen Verfahren ist der Regierungspräsident in Kassel. Dieser handelt unter Anwendung des in Nordrhein-Westfalen geltenden Rechts im Einvernehmen mit dem Regierungspräsidenten in Arnsberg, soweit sich das Wasserschutzgebiet auf Flächen im Land Nordrhein-Westfalen erstreckt. Entsprechendes gilt für die Durchführung des Entschädigungsverfahrens.</w:t>
      </w:r>
    </w:p>
    <w:p>
      <w:r>
        <w:rPr>
          <w:color w:val="555555"/>
          <w:sz w:val="17"/>
        </w:rPr>
        <w:t xml:space="preserve">Zitiervorschlag: § 1 NW_26872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