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NW_26868 (Nordrhein-Westfalen) — Hoheitsrechte</w:t>
      </w:r>
    </w:p>
    <w:p>
      <w:r>
        <w:rPr>
          <w:color w:val="555555"/>
          <w:sz w:val="18"/>
        </w:rPr>
        <w:t xml:space="preserve">Bekanntmachung des Abkommens über die Verbesserung der Lippewasserführung, die Speisung der westdeutschen Schiffahrtskanäle mit Wasser und die Wasserversorgung aus ihnen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Hoheitsrechtliche Befugnisse des Bundes und des Landes werden durch dieses Abkommen nicht berührt.</w:t>
      </w:r>
    </w:p>
    <w:p>
      <w:r>
        <w:rPr>
          <w:color w:val="555555"/>
          <w:sz w:val="17"/>
        </w:rPr>
        <w:t xml:space="preserve">Zitiervorschlag: Art 12 NW_26868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https://recht.nulegal.eu/gesetze/NW_26868/12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