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 NW_26868 (Nordrhein-Westfalen) — Durchführung</w:t>
      </w:r>
    </w:p>
    <w:p>
      <w:r>
        <w:rPr>
          <w:color w:val="555555"/>
          <w:sz w:val="18"/>
        </w:rPr>
        <w:t xml:space="preserve">Bekanntmachung des Abkommens über die Verbesserung der Lippewasserführung, die Speisung der westdeutschen Schiffahrtskanäle mit Wasser und die Wasserversorgung aus ihnen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Land bedient sich zur Erfüllung von Verpflichtungen und zur Wahrnehmung von Rechten aus diesem Abkommen Körperschaften des öffentlichen und des privaten Rechts, die teils noch zu bilden sind.</w:t>
      </w:r>
    </w:p>
    <w:p>
      <w:r>
        <w:t xml:space="preserve">(2) Der Bundesminister für Verkehr und der Minister für Ernährung, Landwirtschaft und Forsten des Landes Nordrhein-Westfalen regeln Einzelheiten zur Durchführung dieses Abkommens in einer Durchführungsvereinbarung. Ihnen bleibt vorbehalten, zum Abschluß ergänzender Abmachungen nachgeordnete oder im Einzelfall beauftragte Stellen zu ermächtigen.</w:t>
      </w:r>
    </w:p>
    <w:p>
      <w:r>
        <w:rPr>
          <w:color w:val="555555"/>
          <w:sz w:val="17"/>
        </w:rPr>
        <w:t xml:space="preserve">Zitiervorschlag: Art 11 NW_26868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https://recht.nulegal.eu/gesetze/NW_26868/11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