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NW_26854 (Nordrhein-Westfalen)</w:t>
      </w:r>
    </w:p>
    <w:p>
      <w:r>
        <w:rPr>
          <w:color w:val="555555"/>
          <w:sz w:val="18"/>
        </w:rPr>
        <w:t xml:space="preserve">Biggetalsperregesetz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Wasserversorungsunternehmen haben den Biggebeitrag ihrer Wasserbezieher auf Anfordern des Ruhrverbandes einzuziehen und an den Ruhrverband abzuführen.</w:t>
      </w:r>
    </w:p>
    <w:p>
      <w:r>
        <w:t xml:space="preserve">(2) Der Ruhrverband kann den Biggebeitrag im Verwaltungszwangsverfahren beitreiben.</w:t>
      </w:r>
    </w:p>
    <w:p>
      <w:r>
        <w:rPr>
          <w:color w:val="555555"/>
          <w:sz w:val="17"/>
        </w:rPr>
        <w:t xml:space="preserve">Zitiervorschlag: § 9 NW_26854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https://recht.nulegal.eu/gesetze/NW_26854/9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NW_26854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