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NW_26851 (Nordrhein-Westfalen)</w:t>
      </w:r>
    </w:p>
    <w:p>
      <w:r>
        <w:rPr>
          <w:color w:val="555555"/>
          <w:sz w:val="18"/>
        </w:rPr>
        <w:t xml:space="preserve">Verordnung zur Neuordnung der Sparkasse Lemgo und der Städtischen Sparkassen Bad Salzuflen und Barntrup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Zweigstellen Schötmar, Ahmsen, Knetterheide, Lockhausen, Retzen, Sylbach und Wüsten der Sparkasse Lemgo im Gebiet der Stadt Bad Salzuflen sind auf die Städtische Sparkasse Bad Salzuflen zu übertragen.</w:t>
      </w:r>
    </w:p>
    <w:p>
      <w:r>
        <w:t xml:space="preserve">(2) Die Zweigstellen Alverdissen und Sonneborn der Sparkasse Lemgo im Gebiet der Stadt Barntrup sind auf die Städtische Sparkasse Barntrup zu übertragen.</w:t>
      </w:r>
    </w:p>
    <w:p>
      <w:r>
        <w:t xml:space="preserve">(3) Zwischen den beteiligten Sparkassen ist ein angemessener Ausgleich herbeizuführen.</w:t>
      </w:r>
    </w:p>
    <w:p>
      <w:r>
        <w:rPr>
          <w:color w:val="555555"/>
          <w:sz w:val="17"/>
        </w:rPr>
        <w:t xml:space="preserve">Zitiervorschlag: § 1 NW_26851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https://recht.nulegal.eu/gesetze/NW_26851/1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NW_26851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