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NW_26850 (Nordrhein-Westfalen)</w:t>
      </w:r>
    </w:p>
    <w:p>
      <w:r>
        <w:rPr>
          <w:color w:val="555555"/>
          <w:sz w:val="18"/>
        </w:rPr>
        <w:t xml:space="preserve">Verordnung zur Neuordnung der Sparkasse Krefeld und der Stadtsparkasse Nettetal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Haben sich die Beteiligten innerhalb von drei Monaten nach Inkrafttreten dieser Verordnung über die Übertragung der Zweigstellen und über einen angemessenen Ausgleich nicht geeinigt, ordnet der Regierungspräsident in Düsseldorf nach Anhörung der betroffenen Sparkassen, ihrer Gewährträger und des Rheinischen Sparkassen- und Giroverbandes die Übertragung an und regelt die Auseinandersetzung einschließlich des angemessenen Ausgleichs.</w:t>
      </w:r>
    </w:p>
    <w:p>
      <w:r>
        <w:rPr>
          <w:color w:val="555555"/>
          <w:sz w:val="17"/>
        </w:rPr>
        <w:t xml:space="preserve">Zitiervorschlag: § 2 NW_26850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https://recht.nulegal.eu/gesetze/NW_26850/2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