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NW_26849 (Nordrhein-Westfalen)</w:t>
      </w:r>
    </w:p>
    <w:p>
      <w:r>
        <w:rPr>
          <w:color w:val="555555"/>
          <w:sz w:val="18"/>
        </w:rPr>
        <w:t xml:space="preserve">Verordnung zur Neuordnung der Kreissparkasse Düren und der Städtischen Sparkasse Düren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Der Minister</w:t>
      </w:r>
    </w:p>
    <w:p>
      <w:r>
        <w:t xml:space="preserve">für Wirtschaft, Mittelstand und Verkehr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NW_26849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