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NW_26849 (Nordrhein-Westfalen)</w:t>
      </w:r>
    </w:p>
    <w:p>
      <w:r>
        <w:rPr>
          <w:color w:val="555555"/>
          <w:sz w:val="18"/>
        </w:rPr>
        <w:t xml:space="preserve">Verordnung zur Neuordnung der Kreissparkasse Düren und der Städtischen Sparkasse Düren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Haben sich die Beteiligten innerhalb von drei Monaten nach Inkrafttreten dieser Verordnung über die Übertragung der Zweigstellen und über einen angemessenen Ausgleich nicht geeinigt, ordnet der Regierungspräsident in Köln nach Anhörung der betroffenen Sparkassen, ihrer Gewährträger und des Rheinischen Sparkassen- und Giroverbandes die Übertragung an und regelt die Auseinandersetzung einschließlich des angemessenen Ausgleichs.</w:t>
      </w:r>
    </w:p>
    <w:p>
      <w:r>
        <w:rPr>
          <w:color w:val="555555"/>
          <w:sz w:val="17"/>
        </w:rPr>
        <w:t xml:space="preserve">Zitiervorschlag: § 2 NW_26849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