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NW_26848 (Nordrhein-Westfalen)</w:t>
      </w:r>
    </w:p>
    <w:p>
      <w:r>
        <w:rPr>
          <w:color w:val="555555"/>
          <w:sz w:val="18"/>
        </w:rPr>
        <w:t xml:space="preserve">Verordnung zur Neuordnung der Sparkassen in der Stadt Köln sowie im Kreis Euskirchen, Erftkreis, Rheinisch-Bergischen Kreis und Oberbergischen 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Zweigstellen Eil, Ensen-Westhofen, Esch, Flughafen Köln/Bonn, Godorf, Gremberghoven, Grengel, Heumar, Junkersdorf, Langel, Marsdorf, Meschenich, Pesch, Porz, Porz (Konrad-Adenauer-Straße), Rodenkirchen, Rondorf, Sürth, Urbach, Wahn, Wahn-Heide, Weiden, Weiden (Aachener Straße), Weiß, Widdersdorf, Zundorf der Kreissparkasse Köln in der Stadt Köln sind auf die Stadtsparkasse Köln zu übertragen.</w:t>
      </w:r>
    </w:p>
    <w:p>
      <w:r>
        <w:t xml:space="preserve">(2) Die Zweigstellen Bliesheim. Erp, Friesheim, Gymnich, Hügelhaus, Köttingen, Lechenich und Liblar der Kreissparkasse Euskirchen in der Stadt Erftstadt sind auf die Kreissparkasse Köln zu übertragen.</w:t>
      </w:r>
    </w:p>
    <w:p>
      <w:r>
        <w:t xml:space="preserve">(3)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1 NW_26848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