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NW_26847 (Nordrhein-Westfalen)</w:t>
      </w:r>
    </w:p>
    <w:p>
      <w:r>
        <w:rPr>
          <w:color w:val="555555"/>
          <w:sz w:val="18"/>
        </w:rPr>
        <w:t xml:space="preserve">Verordnung zur Neuordnung der Sparkassen im Kreis Neuss -Fn 2-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Kreissparkasse Grevenbroich, die Stadtsparkasse Grevenbroich, die Gemeindesparkasse Kaarst-Büttgen und die Sparkasse der Gemeinde Korschenbroich sind in der Weise zu vereinigen, daß eine Zweckverbandssparkasse entsteht, auf die das Vermögen der Kreissparkasse Grevenbroich, der Stadtsparkasse Grevenbroich, der Gemeindesparkasse Kaarst-Büttgen und der Sparkasse der Gemeinde Korschenbroich als Ganzes übergeht.</w:t>
      </w:r>
    </w:p>
    <w:p>
      <w:r>
        <w:rPr>
          <w:color w:val="555555"/>
          <w:sz w:val="17"/>
        </w:rPr>
        <w:t xml:space="preserve">Zitiervorschlag: § 1 NW_26847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