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NW_26845 (Nordrhein-Westfalen)</w:t>
      </w:r>
    </w:p>
    <w:p>
      <w:r>
        <w:rPr>
          <w:color w:val="555555"/>
          <w:sz w:val="18"/>
        </w:rPr>
        <w:t xml:space="preserve">Verordnung zur Neuordnung der Kreissparkasse Minden-Lübbecke und der Stadtsparkassen Porta Westfalica, Rahden und Vlotho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Für den Minister</w:t>
      </w:r>
    </w:p>
    <w:p>
      <w:r>
        <w:t xml:space="preserve">für Wirtschaft, Mittelstand und Verkehr</w:t>
      </w:r>
    </w:p>
    <w:p>
      <w:r>
        <w:t xml:space="preserve">Der Kultusminister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NW_26845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