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NW_26845 (Nordrhein-Westfalen)</w:t>
      </w:r>
    </w:p>
    <w:p>
      <w:r>
        <w:rPr>
          <w:color w:val="555555"/>
          <w:sz w:val="18"/>
        </w:rPr>
        <w:t xml:space="preserve">Verordnung zur Neuordnung der Kreissparkasse Minden-Lübbecke und der Stadtsparkassen Porta Westfalica, Rahden und Vlotho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Haben sich die Beteiligten innerhalb von 3 Monaten nach Inkrafttreten dieser Verordnung über die Übertragung der Zweigstellen und über einen angemessenen Ausgleich nach § 1 nicht geeinigt, ordnet der Regierungspräsident in Detmold nach Anhörung des Westfälisch-Lippischen Sparkassen- und Giroverbandes die Übertragung an und regelt die Auseinandersetzung.</w:t>
      </w:r>
    </w:p>
    <w:p>
      <w:r>
        <w:rPr>
          <w:color w:val="555555"/>
          <w:sz w:val="17"/>
        </w:rPr>
        <w:t xml:space="preserve">Zitiervorschlag: § 2 NW_26845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