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NW_26845 (Nordrhein-Westfalen)</w:t>
      </w:r>
    </w:p>
    <w:p>
      <w:r>
        <w:rPr>
          <w:color w:val="555555"/>
          <w:sz w:val="18"/>
        </w:rPr>
        <w:t xml:space="preserve">Verordnung zur Neuordnung der Kreissparkasse Minden-Lübbecke und der Stadtsparkassen Porta Westfalica, Rahden und Vlotho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Zweigstellen Barkhausen, Nammen und Neesen der Kreissparkasse Minden-Lübbecke im Gebiet der Stadt Porta Westfalica sind auf die Stadtsparkasse Porta Westfalica zu übertragen.</w:t>
      </w:r>
    </w:p>
    <w:p>
      <w:r>
        <w:t xml:space="preserve">(2) Die Zweistelle der Kreissparkasse Minden-Lübbecke im Gebiet der Stadt Rahden ist auf die Stadtsparkasse Rahden zu übertragen.</w:t>
      </w:r>
    </w:p>
    <w:p>
      <w:r>
        <w:t xml:space="preserve">(3) Die Zweigstelle Espelkamp der Stadtsparkasse Rahden in der Stadt Espelkamp ist auf die Kreissparkasse Minden-Lübbecke zu übertragen.</w:t>
      </w:r>
    </w:p>
    <w:p>
      <w:r>
        <w:t xml:space="preserve">(4) Die Zweigstelle Vlotho-Uffeln der Stadtsparkasse Porta Westfalica im Gebiet der Stadt Vlotho ist auf die Stadtsparkasse Vlotho oder ihren Rechtsnachfolger zu übertragen.</w:t>
      </w:r>
    </w:p>
    <w:p>
      <w:r>
        <w:t xml:space="preserve">(5) Zwischen den beteiligten Sparkassen ist ein angemessener Ausgleich herbeizuführen.</w:t>
      </w:r>
    </w:p>
    <w:p>
      <w:r>
        <w:rPr>
          <w:color w:val="555555"/>
          <w:sz w:val="17"/>
        </w:rPr>
        <w:t xml:space="preserve">Zitiervorschlag: § 1 NW_26845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