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NW_26844 (Nordrhein-Westfalen)</w:t>
      </w:r>
    </w:p>
    <w:p>
      <w:r>
        <w:rPr>
          <w:color w:val="555555"/>
          <w:sz w:val="18"/>
        </w:rPr>
        <w:t xml:space="preserve">Verordnung zur Neuordnung der Sparkassen im Kreis Lippe -Fn 2-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 dem in § 1 Abs. 1 genannten Zweck haben der Kreis Lippe und die Städte Blomberg, Detmold, Horn-Bad Meinberg und Lage einen Zweckverband zu bilden. Der Zweckverband haftet für die Verbindlichkeiten der Sparkasse gemäß § 5 SpkG.</w:t>
      </w:r>
    </w:p>
    <w:p>
      <w:r>
        <w:t xml:space="preserve">(2) Zu dem in § 1 Abs. 2 genannten Zweck haben der Kreis Lippe und die Städte Bad Salzuflen, Barntrup und Lemgo einen Zweckverband zu bilden. Der Zweckverband haftet für die Verbindlichkeiten der Sparkasse gemäß § 5 SpkG.</w:t>
      </w:r>
    </w:p>
    <w:p>
      <w:r>
        <w:rPr>
          <w:color w:val="555555"/>
          <w:sz w:val="17"/>
        </w:rPr>
        <w:t xml:space="preserve">Zitiervorschlag: § 2 NW_26844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