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NW_26841 (Nordrhein-Westfalen)</w:t>
      </w:r>
    </w:p>
    <w:p>
      <w:r>
        <w:rPr>
          <w:color w:val="555555"/>
          <w:sz w:val="18"/>
        </w:rPr>
        <w:t xml:space="preserve">Verordnung zur Neuordnung der Sparkasse Hochsauerland und der Stadtsparkasse Marsberg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Zweigstellen Bredelar, Beringhausen, Padberg und Helminghausen der Sparkasse Hochsauerland im Gebiet der Stadt Marsberg sind auf die Stadtsparkasse Marsberg zu übertragen. Zwischen den beteiligten Sparkassen ist ein angemessener Ausgleich herbeizuführen.</w:t>
      </w:r>
    </w:p>
    <w:p>
      <w:r>
        <w:rPr>
          <w:color w:val="555555"/>
          <w:sz w:val="17"/>
        </w:rPr>
        <w:t xml:space="preserve">Zitiervorschlag: § 1 NW_26841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https://recht.nulegal.eu/gesetze/NW_26841/1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