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NW_26840 (Nordrhein-Westfalen)</w:t>
      </w:r>
    </w:p>
    <w:p>
      <w:r>
        <w:rPr>
          <w:color w:val="555555"/>
          <w:sz w:val="18"/>
        </w:rPr>
        <w:t xml:space="preserve">Verordnung zur Neuordnung der Sparkassen im Kreis Gütersloh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Zweigstellen der Kreissparkasse Wiedenbrück im Gebiet der Stadt Gütersloh - Avenwedde, Avenwedde-West, Friedrichsdorf und Spexard - sind auf die Stadtsparkasse Gütersloh zu übertragen.</w:t>
      </w:r>
    </w:p>
    <w:p>
      <w:r>
        <w:t xml:space="preserve">(2) Die Zweigstellen der Sparkasse Warendorf in der Gemeinde Harsewinkel - Greffen, Harsewinkel, Harsewinkel-Ostheide, Harsewinkel-Rövekamp und Marienfeld - sind auf die Stadtsparkasse Gütersloh zu übertragen.</w:t>
      </w:r>
    </w:p>
    <w:p>
      <w:r>
        <w:t xml:space="preserve">(3) Zwischen den beteiligten Sparkassen ist ein angemessener Ausgleich herbeizuführen.</w:t>
      </w:r>
    </w:p>
    <w:p>
      <w:r>
        <w:rPr>
          <w:color w:val="555555"/>
          <w:sz w:val="17"/>
        </w:rPr>
        <w:t xml:space="preserve">Zitiervorschlag: § 1 NW_26840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https://recht.nulegal.eu/gesetze/NW_26840/1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