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NW_26839 (Nordrhein-Westfalen)</w:t>
      </w:r>
    </w:p>
    <w:p>
      <w:r>
        <w:rPr>
          <w:color w:val="555555"/>
          <w:sz w:val="18"/>
        </w:rPr>
        <w:t xml:space="preserve">Verordnung zur Neuordnung der Kreissparkasse Geldern, der Sparkasse der Stadt Straelen, der Gemeindesparkasse Kerken und der Verbandssparkasse Goch im Kreis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Zweigstelle Herongen der Kreissparkasse Geldern im Gebiet der Stadt Straelen ist auf die Sparkasse der Stadt Straelen zu übertragen.</w:t>
      </w:r>
    </w:p>
    <w:p>
      <w:r>
        <w:t xml:space="preserve">(2) Die Zweigstellen Kervenheim und Winnekendonk der Kreissparkasse Geldern im Gebiet der Stadt Kevelaer sind auf die Verbandssparkasse Goch - Zweckverbandssparkasse der Städte Goch und Kevelaer und der Gemeinde Weeze - zu übertragen.</w:t>
      </w:r>
    </w:p>
    <w:p>
      <w:r>
        <w:t xml:space="preserve">(3)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3 NW_26839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https://recht.nulegal.eu/gesetze/NW_26839/3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