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NW_26839 (Nordrhein-Westfalen)</w:t>
      </w:r>
    </w:p>
    <w:p>
      <w:r>
        <w:rPr>
          <w:color w:val="555555"/>
          <w:sz w:val="18"/>
        </w:rPr>
        <w:t xml:space="preserve">Verordnung zur Neuordnung der Kreissparkasse Geldern, der Sparkasse der Stadt Straelen, der Gemeindesparkasse Kerken und der Verbandssparkasse Goch im Kreis Kleve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Kreissparkasse Geldern und die Gemeindesparkasse Kerken sind in der Weise zu vereinigen, daß eine Zweckverbandssparkasse entsteht, auf die das Vermögen der Kreissparkasse Geldern und der Gemeindesparkasse Kerken als Ganzes übergeht.</w:t>
      </w:r>
    </w:p>
    <w:p>
      <w:r>
        <w:rPr>
          <w:color w:val="555555"/>
          <w:sz w:val="17"/>
        </w:rPr>
        <w:t xml:space="preserve">Zitiervorschlag: § 1 NW_26839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https://recht.nulegal.eu/gesetze/NW_26839/1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