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NW_26838 (Nordrhein-Westfalen)</w:t>
      </w:r>
    </w:p>
    <w:p>
      <w:r>
        <w:rPr>
          <w:color w:val="555555"/>
          <w:sz w:val="18"/>
        </w:rPr>
        <w:t xml:space="preserve">Verordnung -Fn 2- zur Neuordnung der Kreissparkasse Düsseldorf, der Stadtsparkassen Erkrath und Haan sowie der Sparkasse Ratingen im Kreis Mettmann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1 genannten Zweck haben die Städte Erkrath und Haan und der Kreis Mettmann einen Sparkassenzweckverband zu bilden. Der Zweckverband haftet für die Verbindlichkeiten der Sparkasse nach Maßgabe des § 5 SpkG.</w:t>
      </w:r>
    </w:p>
    <w:p>
      <w:r>
        <w:rPr>
          <w:color w:val="555555"/>
          <w:sz w:val="17"/>
        </w:rPr>
        <w:t xml:space="preserve">Zitiervorschlag: § 2 NW_26838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