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NW_26829 (Nordrhein-Westfalen) — Bewertung der Bausparguthaben.</w:t>
      </w:r>
    </w:p>
    <w:p>
      <w:r>
        <w:rPr>
          <w:color w:val="555555"/>
          <w:sz w:val="18"/>
        </w:rPr>
        <w:t xml:space="preserve">Anordnung über die Bausparverhältnisse aus Anlaß der Neuordnung des Geldwesens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Bewertungsziffer der bis zum 20. Juni 1948 geleisteten Zahlungen wird auf 10 v. H. herabgesetzt. Vom 21. Juni 1948 ab wird der Zuwachs der Bewertungsziffern nach den vertraglichen Bausparbedingungen errechnet.</w:t>
      </w:r>
    </w:p>
    <w:p>
      <w:r>
        <w:t xml:space="preserve">(2) Die Reihenfolge nach dem Listensystem bleibt unberührt.</w:t>
      </w:r>
    </w:p>
    <w:p>
      <w:r>
        <w:rPr>
          <w:color w:val="555555"/>
          <w:sz w:val="17"/>
        </w:rPr>
        <w:t xml:space="preserve">Zitiervorschlag: § 2 NW_26829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