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NW_26826 (Nordrhein-Westfalen) — Inkrafttreten</w:t>
      </w:r>
    </w:p>
    <w:p>
      <w:r>
        <w:rPr>
          <w:color w:val="555555"/>
          <w:sz w:val="18"/>
        </w:rPr>
        <w:t xml:space="preserve">Bekanntmachung des Änderungs- und Ergänzungsabkommens zwischen der Bundesrepublik Deutschland und dem Land Nordrhein-Westfalen zur Steinkohlenreserve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Abkommen tritt am Tage nach seiner Verkündung im Gesetz- und Verordnungsblatt des Landes Nordrhein-Westfalen in Kraft.</w:t>
      </w:r>
    </w:p>
    <w:p>
      <w:r>
        <w:t xml:space="preserve">Bonn, den 17. September 1987</w:t>
      </w:r>
    </w:p>
    <w:p>
      <w:r>
        <w:t xml:space="preserve">Der Bundesminister</w:t>
      </w:r>
    </w:p>
    <w:p>
      <w:r>
        <w:t xml:space="preserve">für Wirtschaft</w:t>
      </w:r>
    </w:p>
    <w:p>
      <w:r>
        <w:t xml:space="preserve">Im Auftrag</w:t>
      </w:r>
    </w:p>
    <w:p>
      <w:r>
        <w:t xml:space="preserve">Braubach</w:t>
      </w:r>
    </w:p>
    <w:p>
      <w:r>
        <w:t xml:space="preserve">Düsseldorf, den 23. September 1987</w:t>
      </w:r>
    </w:p>
    <w:p>
      <w:r>
        <w:t xml:space="preserve">Der Minister</w:t>
      </w:r>
    </w:p>
    <w:p>
      <w:r>
        <w:t xml:space="preserve">für Wirtschaft, Mittelstand und Technologie</w:t>
      </w:r>
    </w:p>
    <w:p>
      <w:r>
        <w:t xml:space="preserve">des Landes Nordrhein-Westfalen</w:t>
      </w:r>
    </w:p>
    <w:p>
      <w:r>
        <w:t xml:space="preserve">Im Auftrag</w:t>
      </w:r>
    </w:p>
    <w:p>
      <w:r>
        <w:t xml:space="preserve">Coerdt</w:t>
      </w:r>
    </w:p>
    <w:p>
      <w:r>
        <w:rPr>
          <w:color w:val="555555"/>
          <w:sz w:val="17"/>
        </w:rPr>
        <w:t xml:space="preserve">Zitiervorschlag: § 6 NW_26826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