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NW_26817 (Nordrhein-Westfalen) — Behörden</w:t>
      </w:r>
    </w:p>
    <w:p>
      <w:r>
        <w:rPr>
          <w:color w:val="555555"/>
          <w:sz w:val="18"/>
        </w:rPr>
        <w:t xml:space="preserve">Abgrabungsgesetz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Genehmigungsbehörden sind die Kreisordnungsbehörden.</w:t>
      </w:r>
    </w:p>
    <w:p>
      <w:r>
        <w:t xml:space="preserve">(2) Bei Abgrabungen, welche den Zuständigkeitsbereich einer Genehmigungsbehörde überschreiten, bestimmt die nächsthöhere gemeinsame Naturschutzbehörde die zuständige Genehmigungsbehörde.</w:t>
      </w:r>
    </w:p>
    <w:p>
      <w:r>
        <w:t xml:space="preserve">(3) Die Kreisordnungsbehörden haben darüber zu wachen, daß die Bestimmungen dieses Gesetzes beachtet werden. Sie haben in Wahrnehmung dieser Aufgaben nach pflichtgemäßem Ermessen die erforderlichen Maßnahmen zu treffen.</w:t>
      </w:r>
    </w:p>
    <w:p>
      <w:r>
        <w:rPr>
          <w:color w:val="555555"/>
          <w:sz w:val="17"/>
        </w:rPr>
        <w:t xml:space="preserve">Zitiervorschlag: § 8 NW_26817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https://recht.nulegal.eu/gesetze/NW_26817/8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