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NW_26817 (Nordrhein-Westfalen) — Bußgeldvorschriften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vorsätzlich oder fahrlässig entgegen § 3 Abs. 1 oder § 6 Abs. 2 Bodenschätze ohne Genehmigung abbaut,</w:t>
      </w:r>
    </w:p>
    <w:p>
      <w:r>
        <w:t xml:space="preserve">2. entgegen § 11 nicht duldet, daß eine mit der Durchführung des Gesetzes beauftragte Person das Abbau- und Betriebsgelände betritt,</w:t>
      </w:r>
    </w:p>
    <w:p>
      <w:r>
        <w:t xml:space="preserve">3. entgegen § 12 Abs. 1 die Abgrabung fortsetzt, obwohl diese durch eine vollziehbare Verfügung der Genehmigungsbehörde untersagt worden ist,</w:t>
      </w:r>
    </w:p>
    <w:p>
      <w:r>
        <w:t xml:space="preserve">4. eine vollziehbare Auflage nach § 7 Abs. 1 Satz 2, § 9 Abs. 2 Satz 2 oder § 14 Abs. 2 Satz 2 nicht, nicht vollständig oder nicht rechtzeitig erfüllt,</w:t>
      </w:r>
    </w:p>
    <w:p>
      <w:r>
        <w:t xml:space="preserve">5. einer vollziehbaren Anordnung nach § 7 Abs. 5, eine bereits begonnene Abgrabung entsprechend der Genehmigung vollständig durchzuführen, nicht nachkommt.</w:t>
      </w:r>
    </w:p>
    <w:p>
      <w:r>
        <w:t xml:space="preserve">(2) Die Ordnungswidrigkeit kann mit einer Geldbuße bis zu 50 000 Euro geahndet werden.</w:t>
      </w:r>
    </w:p>
    <w:p>
      <w:r>
        <w:t xml:space="preserve">(3) Verwaltungsbehörde im Sinne des § 36 Abs. 1 Nr. 1 des Gesetzes über Ordnungswidrigkeiten ist die Kreisordnungsbehörde.</w:t>
      </w:r>
    </w:p>
    <w:p>
      <w:r>
        <w:rPr>
          <w:color w:val="555555"/>
          <w:sz w:val="17"/>
        </w:rPr>
        <w:t xml:space="preserve">Zitiervorschlag: § 13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