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NW_26817 (Nordrhein-Westfalen) — Sachlicher Geltungsbereich</w:t>
      </w:r>
    </w:p>
    <w:p>
      <w:r>
        <w:rPr>
          <w:color w:val="555555"/>
          <w:sz w:val="18"/>
        </w:rPr>
        <w:t xml:space="preserve">Abgrabungsgesetz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Dieses Gesetz gilt für</w:t>
      </w:r>
    </w:p>
    <w:p>
      <w:r>
        <w:t xml:space="preserve">1. die oberirdische Gewinnung von Bodenschätzen (Abgrabung), die im Verfügungsrecht des Grundeigentümers stehen,</w:t>
      </w:r>
    </w:p>
    <w:p>
      <w:r>
        <w:t xml:space="preserve">2. die Oberflächengestaltung und Wiedernutzbarmachung des in Anspruch genommenen Geländes während und nach Abschluß der Abgrabung (Herrichtung).</w:t>
      </w:r>
    </w:p>
    <w:p>
      <w:r>
        <w:t xml:space="preserve">(2) Bodenschätze im Sinne dieses Gesetzes sind insbesondere Kies, Sand, Ton, Lehm, Kalkstein, Dolomit, sonstige Gesteine, Moorschlamm und Torf.</w:t>
      </w:r>
    </w:p>
    <w:p>
      <w:r>
        <w:t xml:space="preserve">(3) Abgrabungen, die der Aufsicht der Bergbehörde unterliegen, sowie Abgrabungen geringen Umfanges für den Eigenbedarf eines land- oder forstwirtschaftlichen Betriebes werden durch dieses Gesetz nicht berührt.</w:t>
      </w:r>
    </w:p>
    <w:p>
      <w:r>
        <w:rPr>
          <w:color w:val="555555"/>
          <w:sz w:val="17"/>
        </w:rPr>
        <w:t xml:space="preserve">Zitiervorschlag: § 1 NW_26817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