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NW_26813 (Nordrhein-Westfalen) — Bewilligungsverfahren, Ausgaben, Rückzahlung</w:t>
      </w:r>
    </w:p>
    <w:p>
      <w:r>
        <w:rPr>
          <w:color w:val="555555"/>
          <w:sz w:val="18"/>
        </w:rPr>
        <w:t xml:space="preserve">Bekanntmachung des Abkommens über die Beteiligung des Landes Nordrhein-Westfalen an den zugunsten von Gesellschaften des Steinkohlenbergbaus in Nordrhein-Westfalen zu übernehmenden Erb- und Streckungslasten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Bewilligungsstelle für die Gewährung von Erblasten und Streckungslasten ist der Bundesbeauftragte oder eine vom Bundesminister für Wirtschaft und Finanzen bestimmte Stelle.</w:t>
      </w:r>
    </w:p>
    <w:p>
      <w:r>
        <w:t xml:space="preserve">(2) Die Bewilligungsstelle stellt die sachliche und rechnerische Richtigkeit für den Gesamtbetrag der jeweiligen Leistung und den Landesanteil fest und übersendet eine Ausfertigung des Feststellungsvermerks sowie des Bewilligungsbescheides an das Land.</w:t>
      </w:r>
    </w:p>
    <w:p>
      <w:r>
        <w:t xml:space="preserve">(3) Bund und Land gewähren ihre Anteile an den Leistungen jeweils gleichzeitig und unmittelbar zu den in den Bewilligungsbescheiden festgesetzten Fälligkeitsterminen aus ihren Kassen.</w:t>
      </w:r>
    </w:p>
    <w:p>
      <w:r>
        <w:t xml:space="preserve">(4) Der Bund wird rechtzeitig vor Beginn eines Haushaltsjahres die voraussichtlichen Ausgaben mit der Landesregierung oder der von ihr bestimmten Stelle abstimmen.</w:t>
      </w:r>
    </w:p>
    <w:p>
      <w:r>
        <w:t xml:space="preserve">(5) Soweit gewährte Leistungen zurückgezahlt werden, wird die Bewilligungsstelle für die unverzügliche Überweisung der anteiligen Beträge an das Land Sorge tragen, wenn das Land seinen Verpflichtungen nach Artikel 3 nachgekommen ist.</w:t>
      </w:r>
    </w:p>
    <w:p>
      <w:r>
        <w:rPr>
          <w:color w:val="555555"/>
          <w:sz w:val="17"/>
        </w:rPr>
        <w:t xml:space="preserve">Zitiervorschlag: Art 4 NW_26813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