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NW_26813 (Nordrhein-Westfalen) — Beteiligung an den Ausgaben undFreistellungsverpflichtung</w:t>
      </w:r>
    </w:p>
    <w:p>
      <w:r>
        <w:rPr>
          <w:color w:val="555555"/>
          <w:sz w:val="18"/>
        </w:rPr>
        <w:t xml:space="preserve">Bekanntmachung des Abkommens über die Beteiligung des Landes Nordrhein-Westfalen an den zugunsten von Gesellschaften des Steinkohlenbergbaus in Nordrhein-Westfalen zu übernehmenden Erb- und Streckungslasten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übernimmt ein Drittel der nach den Artikeln 1 und 2 zu gewährenden Leistungen und stellt den Bund insoweit von gegen ihn gerichteten Ansprüchen frei. Im Falle einer Verständigung nach Artikel 1 Abs. 5 gilt Satz 1 entsprechend.</w:t>
      </w:r>
    </w:p>
    <w:p>
      <w:r>
        <w:rPr>
          <w:color w:val="555555"/>
          <w:sz w:val="17"/>
        </w:rPr>
        <w:t xml:space="preserve">Zitiervorschlag: Art 3 NW_26813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