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NW_26793 (Nordrhein-Westfalen)</w:t>
      </w:r>
    </w:p>
    <w:p>
      <w:r>
        <w:rPr>
          <w:color w:val="555555"/>
          <w:sz w:val="18"/>
        </w:rPr>
        <w:t xml:space="preserve">Gesetz über Unschädlichkeitszeugnisse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Erteilung des Unschädlichkeitszeugnisses sind die Kreise und kreisfreien Städte als Katasterbehörden zuständig. Findet jedoch die Rechtsänderung (§ 1) im Rahmen eines Flurbereinigungs- oder Siedlungsverfahrens statt, so ist die Flurbereinigungsbehörde zuständig.</w:t>
      </w:r>
    </w:p>
    <w:p>
      <w:r>
        <w:rPr>
          <w:color w:val="555555"/>
          <w:sz w:val="17"/>
        </w:rPr>
        <w:t xml:space="preserve">Zitiervorschlag: § 8 NW_26793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https://recht.nulegal.eu/gesetze/NW_26793/8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