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NW_26793 (Nordrhein-Westfalen)</w:t>
      </w:r>
    </w:p>
    <w:p>
      <w:r>
        <w:rPr>
          <w:color w:val="555555"/>
          <w:sz w:val="18"/>
        </w:rPr>
        <w:t xml:space="preserve">Gesetz über Unschädlichkeitszeugnisse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Feststellung der Unschädlichkeit ersetzt die Bewilligung des Berechtigten.</w:t>
      </w:r>
    </w:p>
    <w:p>
      <w:r>
        <w:t xml:space="preserve">(2) Auf eine Eintragung, die auf Grund des Unschädlichkeitszeugnisses bei einer Hypothek, Grund- oder Rentenschuld zu bewirken ist, sind die Vorschriften der §§ 41 bis 43 der Grundbuchordnung nicht anzuwenden. Wird der Hypotheken-, Grund- oder Rentenschuldbrief nachträglich vorgelegt, so hat das Grundbuchamt die Eintragung auf dem Brief zu vermerken.</w:t>
      </w:r>
    </w:p>
    <w:p>
      <w:r>
        <w:rPr>
          <w:color w:val="555555"/>
          <w:sz w:val="17"/>
        </w:rPr>
        <w:t xml:space="preserve">Zitiervorschlag: § 6 NW_26793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https://recht.nulegal.eu/gesetze/NW_26793/6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