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NW_26793 (Nordrhein-Westfalen)</w:t>
      </w:r>
    </w:p>
    <w:p>
      <w:r>
        <w:rPr>
          <w:color w:val="555555"/>
          <w:sz w:val="18"/>
        </w:rPr>
        <w:t xml:space="preserve">Gesetz über Unschädlichkeitszeugnisse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Unschädlichkeitszeugnis wird erteilt:</w:t>
      </w:r>
    </w:p>
    <w:p>
      <w:r>
        <w:t xml:space="preserve">1. im Falle des § 1 Abs. 1, wenn das Trennstück im Verhältnis zum verbleibenden Teil des Grundstücks von geringem Wert und Umfang ist und für die Berechtigten ein Nachteil nicht zu besorgen ist;</w:t>
      </w:r>
    </w:p>
    <w:p>
      <w:r>
        <w:t xml:space="preserve">2. im Falle des § 1 Abs. 2, wenn für diejenigen, zu deren Gunsten das andere Grundstück belastet ist, ein Nachteil nicht zu besorgen ist, weil ihre Rechte nur geringfügig betroffen werden.</w:t>
      </w:r>
    </w:p>
    <w:p>
      <w:r>
        <w:t xml:space="preserve">(2) Das Unschädlichkeitszeugnis kann auf einzelne Belastungen beschränkt werden.</w:t>
      </w:r>
    </w:p>
    <w:p>
      <w:r>
        <w:rPr>
          <w:color w:val="555555"/>
          <w:sz w:val="17"/>
        </w:rPr>
        <w:t xml:space="preserve">Zitiervorschlag: § 2 NW_26793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https://recht.nulegal.eu/gesetze/NW_26793/2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