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16</w:t>
      </w:r>
    </w:p>
    <w:p>
      <w:r>
        <w:t xml:space="preserve">(1) Das Gesetz tritt am 1. April 1966 in Kraft.</w:t>
      </w:r>
    </w:p>
    <w:p>
      <w:r>
        <w:t xml:space="preserve">(2) Auf ein zur Zeit des Inkrafttretens des Gesetzes anhängiges Verfahren sind die bisherigen Vorschriften anzuwenden.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15a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NW_26793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