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NW_26793 (Nordrhein-Westfalen)</w:t>
      </w:r>
    </w:p>
    <w:p>
      <w:r>
        <w:rPr>
          <w:color w:val="555555"/>
          <w:sz w:val="18"/>
        </w:rPr>
        <w:t xml:space="preserve">Gesetz über Unschädlichkeitszeugnisse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Gerichtskosten bestimmen sich nach der Kostenordnung.</w:t>
      </w:r>
    </w:p>
    <w:p>
      <w:r>
        <w:rPr>
          <w:color w:val="555555"/>
          <w:sz w:val="17"/>
        </w:rPr>
        <w:t xml:space="preserve">Zitiervorschlag: § 14 NW_26793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https://recht.nulegal.eu/gesetze/NW_26793/14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NW_26793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