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NW_26793 (Nordrhein-Westfalen)</w:t>
      </w:r>
    </w:p>
    <w:p>
      <w:r>
        <w:rPr>
          <w:color w:val="555555"/>
          <w:sz w:val="18"/>
        </w:rPr>
        <w:t xml:space="preserve">Gesetz über Unschädlichkeitszeugnisse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übrigen gelten für das gerichtliche Verfahren die Vorschriften des Reichsgesetzes über die Angelegenheiten der freiwilligen Gerichtsbarkeit.</w:t>
      </w:r>
    </w:p>
    <w:p>
      <w:r>
        <w:t xml:space="preserve">(2) Die Feststellung der Unschädlichkeit wird erst wirksam, wenn sie unanfechtbar geworden ist.</w:t>
      </w:r>
    </w:p>
    <w:p>
      <w:r>
        <w:t xml:space="preserve">(3) Die nach § 8 zuständige Verwaltungsbehörde hat die Unanfechtbarkeit zu bescheinigen.</w:t>
      </w:r>
    </w:p>
    <w:p>
      <w:r>
        <w:rPr>
          <w:color w:val="555555"/>
          <w:sz w:val="17"/>
        </w:rPr>
        <w:t xml:space="preserve">Zitiervorschlag: § 13 NW_26793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https://recht.nulegal.eu/gesetze/NW_26793/13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