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NW_26793 (Nordrhein-Westfalen)</w:t>
      </w:r>
    </w:p>
    <w:p>
      <w:r>
        <w:rPr>
          <w:color w:val="555555"/>
          <w:sz w:val="18"/>
        </w:rPr>
        <w:t xml:space="preserve">Gesetz über Unschädlichkeitszeugnisse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Eigentum an einem Teil eines Grundstücks (Trennstück) kann frei von Belastungen übertragen werden, wenn durch ein behördliches Zeugnis festgestellt wird, daß die Rechtsänderung für die Berechtigten unschädlich ist (Unschädlichkeitszeugnis).</w:t>
      </w:r>
    </w:p>
    <w:p>
      <w:r>
        <w:t xml:space="preserve">(2) Unter den gleichen Voraussetzungen kann ein dem jeweiligen Eigentümer eines anderen Grundstücks zustehendes Recht ohne Zustimmung derjenigen, zu deren Gunsten das andere Grundstück belastet ist, aufgehoben werden.</w:t>
      </w:r>
    </w:p>
    <w:p>
      <w:r>
        <w:rPr>
          <w:color w:val="555555"/>
          <w:sz w:val="17"/>
        </w:rPr>
        <w:t xml:space="preserve">Zitiervorschlag: § 1 NW_26793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https://recht.nulegal.eu/gesetze/NW_26793/1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