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NW_26767 (Nordrhein-Westfalen) — Prüfungstermine und Fristen</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Stelle legt im Einvernehmen mit der oder dem Vorsitzenden des Prüfungsausschusses die mit der Durchführung der Prüfung verbundenen Termine fest. Die Termine sollen auf den Ablauf der Berufsausbildung und des Schuljahres abgestimmt sein.</w:t>
      </w:r>
    </w:p>
    <w:p>
      <w:r>
        <w:t xml:space="preserve">(2) Die zuständige Stelle gibt diese Termine und die Anmeldefristen den an der Ausbildung Beteiligten rechtzeitig bekannt.</w:t>
      </w:r>
    </w:p>
    <w:p>
      <w:r>
        <w:t xml:space="preserve">(3) Wird die Abschlußprüfung mit einheitlichen überregionalen Prüfungsaufgaben durchgeführt, sind grundsätzlich einheitliche Prüfungstage festzulegen.</w:t>
      </w:r>
    </w:p>
    <w:p>
      <w:r>
        <w:rPr>
          <w:color w:val="555555"/>
          <w:sz w:val="17"/>
        </w:rPr>
        <w:t xml:space="preserve">Zitiervorschlag: § 6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