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NW_26752 (Nordrhein-Westfalen)</w:t>
      </w:r>
    </w:p>
    <w:p>
      <w:r>
        <w:rPr>
          <w:color w:val="555555"/>
          <w:sz w:val="18"/>
        </w:rPr>
        <w:t xml:space="preserve">IHKG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Rechnungslegung der Industrie- und Handelskammer sind die Vorschriften der Landeshaushaltsordnung sinngemäß anzuwenden.</w:t>
      </w:r>
    </w:p>
    <w:p>
      <w:r>
        <w:t xml:space="preserve">(2) Die Aufsichtsbehörde stellt die Grundsätze für die Prüfung der Jahresrechnung auf; sie bestimmt durch Rechtsverordnung die Rechnungsprüfungsstelle.</w:t>
      </w:r>
    </w:p>
    <w:p>
      <w:r>
        <w:rPr>
          <w:color w:val="555555"/>
          <w:sz w:val="17"/>
        </w:rPr>
        <w:t xml:space="preserve">Zitiervorschlag: § 4 NW_26752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https://recht.nulegal.eu/gesetze/NW_26752/4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