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NW_26752 (Nordrhein-Westfalen)</w:t>
      </w:r>
    </w:p>
    <w:p>
      <w:r>
        <w:rPr>
          <w:color w:val="555555"/>
          <w:sz w:val="18"/>
        </w:rPr>
        <w:t xml:space="preserve">IHKG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sind verpflichtet, auf Ersuchen der Industrie- und Handelskammer Beiträge, Sonderbeiträge und Gebühren (§ 3 Abs. 8 Satz 1 des Bundesgesetzes) gegen eine Vergütung von fünf vom Hundert der zu erhebenden Beträge einzuziehen.</w:t>
      </w:r>
    </w:p>
    <w:p>
      <w:r>
        <w:t xml:space="preserve">(2) Die Gemeinden sind Vollstreckungsbehörden für die Beitreibung rückständiger Beiträge, Sonderbeiträge und Gebühren.</w:t>
      </w:r>
    </w:p>
    <w:p>
      <w:r>
        <w:rPr>
          <w:color w:val="555555"/>
          <w:sz w:val="17"/>
        </w:rPr>
        <w:t xml:space="preserve">Zitiervorschlag: § 3 NW_26752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https://recht.nulegal.eu/gesetze/NW_26752/3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