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NW_26729 (Nordrhein-Westfalen) — Inkrafttreten</w:t>
      </w:r>
    </w:p>
    <w:p>
      <w:r>
        <w:rPr>
          <w:color w:val="555555"/>
          <w:sz w:val="18"/>
        </w:rPr>
        <w:t xml:space="preserve">Verordnung über den Sitz und die Bezeichnung der Staatlichen Rechnungsprüfungsämter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1. Januar 1995 in Kraft. Die Präsidentin oder der Präsident des Landesrechnungshofs hat gegenüber der Landesregierung zum 31. Oktober 2009 Bericht über die Erfahrungen mit dieser Verordnung zu erstatten.</w:t>
      </w:r>
    </w:p>
    <w:p>
      <w:r>
        <w:t xml:space="preserve">Die Landesregierung</w:t>
      </w:r>
    </w:p>
    <w:p>
      <w:r>
        <w:t xml:space="preserve">Nordrhein-Westfalen</w:t>
      </w:r>
    </w:p>
    <w:p>
      <w:r>
        <w:t xml:space="preserve">Hinweis</w:t>
      </w:r>
    </w:p>
    <w:p>
      <w:r>
        <w:t xml:space="preserve">Wiederherstellung des Verordnungsranges</w:t>
      </w:r>
    </w:p>
    <w:p>
      <w:r>
        <w:t xml:space="preserve">(Artikel 196 des Dritten Befristungsgesetzes vom 5.4.2005 (GV. NRW. S. 306))</w:t>
      </w:r>
    </w:p>
    <w:p>
      <w:r>
        <w:t xml:space="preserve">Die in diesem Gesetz erlassenen oder geänderten Rechtsverordnungen können aufgrund der jeweils einschlägigen Verordnungsermächtigungen durch Rechtsverordnung geändert werden.</w:t>
      </w:r>
    </w:p>
    <w:p>
      <w:r>
        <w:rPr>
          <w:color w:val="555555"/>
          <w:sz w:val="17"/>
        </w:rPr>
        <w:t xml:space="preserve">Zitiervorschlag: § 2 NW_26729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https://recht.nulegal.eu/gesetze/NW_26729/2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