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NW_26728 (Nordrhein-Westfalen) — Geschäftsordnung</w:t>
      </w:r>
    </w:p>
    <w:p>
      <w:r>
        <w:rPr>
          <w:color w:val="555555"/>
          <w:sz w:val="18"/>
        </w:rPr>
        <w:t xml:space="preserve">LRHG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Einzelheiten zur Organisation und zum Verfahren des Landesrechnungshofs werden in der Geschäftsordnung geregelt, die von allen Mitgliedern beschlossen wird. Sie bestimmt das Nähere zur Vertretung nach § 6 Abs. 3, § 7 Abs. 3, § 8 Abs. 2 und § 10 Abs. 1. Sie kann Regelungen über das Verfahren der Entscheidungsgremien treffen.</w:t>
      </w:r>
    </w:p>
    <w:p>
      <w:r>
        <w:t xml:space="preserve">(2) Alle Mitglieder können ferner Einzelheiten über das Verfahren und die Grundsätze der Arbeitsplanung, der Prüfung, der Beratung und der Berichterstattung regeln.</w:t>
      </w:r>
    </w:p>
    <w:p>
      <w:r>
        <w:t xml:space="preserve">(3) In den Fällen der Absätze 1 und 2 erfolgt die Entscheidung durch Mehrheitsbeschluß. Bei Stimmengleichheit gibt die Stimme der Präsidentin oder des Präsidenten den Ausschlag.</w:t>
      </w:r>
    </w:p>
    <w:p>
      <w:r>
        <w:t xml:space="preserve">(4) Die Geschäftsordnung ist dem Landtag und der Landesregierung mitzuteilen.</w:t>
      </w:r>
    </w:p>
    <w:p>
      <w:r>
        <w:rPr>
          <w:color w:val="555555"/>
          <w:sz w:val="17"/>
        </w:rPr>
        <w:t xml:space="preserve">Zitiervorschlag: § 13 NW_26728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