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NW_26728 (Nordrhein-Westfalen) — Verschwiegenheit</w:t>
      </w:r>
    </w:p>
    <w:p>
      <w:r>
        <w:rPr>
          <w:color w:val="555555"/>
          <w:sz w:val="18"/>
        </w:rPr>
        <w:t xml:space="preserve">LRHG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Mitglieder des Landesrechnungshofs haben über den Hergang bei der Beratung und Abstimmung, auch nach der Beendigung des Dienstverhältnisses, zu schweigen. Das gleiche gilt für andere Bedienstete, die davon Kenntnis erlangen.</w:t>
      </w:r>
    </w:p>
    <w:p>
      <w:r>
        <w:rPr>
          <w:color w:val="555555"/>
          <w:sz w:val="17"/>
        </w:rPr>
        <w:t xml:space="preserve">Zitiervorschlag: § 12 NW_26728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https://recht.nulegal.eu/gesetze/NW_26728/12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