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NW_26728 (Nordrhein-Westfalen) — Stellung und Sitz</w:t>
      </w:r>
    </w:p>
    <w:p>
      <w:r>
        <w:rPr>
          <w:color w:val="555555"/>
          <w:sz w:val="18"/>
        </w:rPr>
        <w:t xml:space="preserve">LRHG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Nordrhein-Westfalen ist eine selbständige oberste Landesbehörde und als unabhängiges Organ der Finanzkontrolle nur dem Gesetz unterworfen. Im Rahmen seiner gesetzlichen Aufgaben unterstützt er insbesondere den Landtag bei seinen Entscheidungen.</w:t>
      </w:r>
    </w:p>
    <w:p>
      <w:r>
        <w:t xml:space="preserve">(2) Der Landesrechnungshof hat seinen Sitz in Düsseldorf.</w:t>
      </w:r>
    </w:p>
    <w:p>
      <w:r>
        <w:rPr>
          <w:color w:val="555555"/>
          <w:sz w:val="17"/>
        </w:rPr>
        <w:t xml:space="preserve">Zitiervorschlag: § 1 NW_26728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