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NW_26722 (Nordrhein-Westfalen)</w:t>
      </w:r>
    </w:p>
    <w:p>
      <w:r>
        <w:rPr>
          <w:color w:val="555555"/>
          <w:sz w:val="18"/>
        </w:rPr>
        <w:t xml:space="preserve">Grundsteuer-Anerkennungsverordnung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April 1983</w:t>
      </w:r>
    </w:p>
    <w:p>
      <w:r>
        <w:t xml:space="preserve">Aufgrund der §§ 4 Nr. 5, 5 Abs. 1 Nr. 2 und 32 Abs. 2 des Grundsteuergesetzes (GrStG) vom 7. August 1973 (BGBl. I S. 965), geändert durch Gesetz vom 14. Dezember 1976 (BGBl. I S. 3341), wird verordnet:</w:t>
      </w:r>
    </w:p>
    <w:p>
      <w:r>
        <w:rPr>
          <w:color w:val="555555"/>
          <w:sz w:val="17"/>
        </w:rPr>
        <w:t xml:space="preserve">Zitiervorschlag: Volltext NW_26722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