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NW_26715 (Nordrhein-Westfalen)</w:t>
      </w:r>
    </w:p>
    <w:p>
      <w:r>
        <w:rPr>
          <w:color w:val="555555"/>
          <w:sz w:val="18"/>
        </w:rPr>
        <w:t xml:space="preserve">Gesetz über die Erhebung von Kirchensteuern im Land Nordrhein-Westfalen (Kirchensteuergesetz - KiStG);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Kirchensteuern können erhoben werden</w:t>
      </w:r>
    </w:p>
    <w:p>
      <w:r>
        <w:t xml:space="preserve">1.</w:t>
      </w:r>
    </w:p>
    <w:p>
      <w:r>
        <w:t xml:space="preserve">a) als Zuschlag zur Einkommensteuer und Lohnsteuer, auch unter Festsetzung von Mindestbeträgen, sowie als Zuschlag zur Kapitalertragsteuer, oder</w:t>
      </w:r>
    </w:p>
    <w:p>
      <w:r>
        <w:t xml:space="preserve">b) nach Maßgabe des Einkommens auf Grund eines besonderen Tarifs</w:t>
      </w:r>
    </w:p>
    <w:p>
      <w:r>
        <w:t xml:space="preserve">(Kirchensteuer vom Einkommen)</w:t>
      </w:r>
    </w:p>
    <w:p>
      <w:r>
        <w:t xml:space="preserve">2. als Zuschlag zur Vermögensteuer (Kirchensteuer vom Vermögen),</w:t>
      </w:r>
    </w:p>
    <w:p>
      <w:r>
        <w:t xml:space="preserve">3. als Zuschlag zu den Grundsteuermeßbeträgen (Kirchensteuer vom Grundbesitz),</w:t>
      </w:r>
    </w:p>
    <w:p>
      <w:r>
        <w:t xml:space="preserve">4. als allgemeines Kirchgeld,</w:t>
      </w:r>
    </w:p>
    <w:p>
      <w:r>
        <w:t xml:space="preserve">5. als besonderes Kirchgeld von Kirchensteuerpflichtigen, deren Ehegatte oder Lebenspartner nicht kirchensteuerpflichtig ist.</w:t>
      </w:r>
    </w:p>
    <w:p>
      <w:r>
        <w:t xml:space="preserve">(2) Vor Berechnung der Kirchensteuer nach Absatz 1 Nr. 1 Buchstabe a sind die Einkommensteuer, die Lohn- und Kapitalertragsteuer nach Maßgabe des § 51a des Einkommensteuergesetzes in seiner jeweiligen Fassung zu ermitteln. Wird für das besondere Kirchgeld nach Absatz 1 Nr. 5 das zu versteuernde Einkommen im Sinne des Einkommensteuergesetzes als Bemessungsgrundlage bestimmt, so ist der Betrag maßgebend, der auch für die Ermittlung der Einkommensteuer nach Satz 1 zugrunde zu legen ist.</w:t>
      </w:r>
    </w:p>
    <w:p>
      <w:r>
        <w:t xml:space="preserve">(3) Kirchensteuern nach Absatz 1 können nebeneinander erhoben werden. Die Kirchensteuern vom Einkommen nach Absatz 1 Nr. 1 Buchstabe a) und nach Absatz 1 Nr. 1 Buchstabe b) können nicht nebeneinander erhoben werden.</w:t>
      </w:r>
    </w:p>
    <w:p>
      <w:r>
        <w:t xml:space="preserve">(4) In den Steuerordnungen kann bestimmt werden, daß Kirchensteuern einer Art auf Kirchensteuern einer anderen Art angerechnet werden. Eine Kirchensteuer nach Absatz 1 Nummer 1 Buchstabe a ist stets auf ein besonderes Kirchgeld anzurechnen; davon ausgenommen ist die Kirchensteuer, die als Zuschlag zu nach dem Tarif des § 32d Absatz 1 des Einkommensteuergesetzes ermittelter Einkommensteuer erhoben wird. Auf ein besonderes Kirchgeld sind auch die Beiträge anzurechnen, die der nicht kirchensteuerpflichtige Ehegatte oder Lebenspartner als Mitglied einer öffentlich-rechtlichen Religionsgemeinschaft, die keine Kirchensteuern erhebt, entrichtet hat.</w:t>
      </w:r>
    </w:p>
    <w:p>
      <w:r>
        <w:t xml:space="preserve">(5) Wird die Kirchensteuer vom Einkommen als Diözesankirchensteuer oder Landeskirchensteuer und als Ortskirchensteuer nebeneinander erhoben, so ist dafür ein gemeinsamer Steuersatz festzusetzen.</w:t>
      </w:r>
    </w:p>
    <w:p>
      <w:r>
        <w:rPr>
          <w:color w:val="555555"/>
          <w:sz w:val="17"/>
        </w:rPr>
        <w:t xml:space="preserve">Zitiervorschlag: § 4 NW_26715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https://recht.nulegal.eu/gesetze/NW_26715/4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