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NW_26715 (Nordrhein-Westfalen)</w:t>
      </w:r>
    </w:p>
    <w:p>
      <w:r>
        <w:rPr>
          <w:color w:val="555555"/>
          <w:sz w:val="18"/>
        </w:rPr>
        <w:t xml:space="preserve">Gesetz über die Erhebung von Kirchensteuern im Land Nordrhein-Westfalen (Kirchensteuergesetz - KiStG);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Kirchensteuern können nach Maßgabe der Steuerordnungen</w:t>
      </w:r>
    </w:p>
    <w:p>
      <w:r>
        <w:t xml:space="preserve">1. als Diözesankirchensteuer oder Landeskirchensteuer,</w:t>
      </w:r>
    </w:p>
    <w:p>
      <w:r>
        <w:t xml:space="preserve">2. als Ortskirchensteuer</w:t>
      </w:r>
    </w:p>
    <w:p>
      <w:r>
        <w:t xml:space="preserve">3. nebeneinander als Diözesankirchensteuer oder Landeskirchensteuer und als Ortskirchensteuer</w:t>
      </w:r>
    </w:p>
    <w:p>
      <w:r>
        <w:t xml:space="preserve">erhoben werden.</w:t>
      </w:r>
    </w:p>
    <w:p>
      <w:r>
        <w:t xml:space="preserve">(2) Die Steuerordnungen werden von den Diözesen der Katholischen Kirche und den Evangelischen Landeskirchen erlassen.</w:t>
      </w:r>
    </w:p>
    <w:p>
      <w:r>
        <w:t xml:space="preserve">(3) Über die Höhe der zu erhebenden Kirchensteuern beschließt die nach der Steuerordnung zuständige Körperschaft.</w:t>
      </w:r>
    </w:p>
    <w:p>
      <w:r>
        <w:t xml:space="preserve">II. Persönliche Steuerpflicht</w:t>
      </w:r>
    </w:p>
    <w:p>
      <w:r>
        <w:rPr>
          <w:color w:val="555555"/>
          <w:sz w:val="17"/>
        </w:rPr>
        <w:t xml:space="preserve">Zitiervorschlag: § 2 NW_26715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https://recht.nulegal.eu/gesetze/NW_26715/2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