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NW_26715 (Nordrhein-Westfalen)</w:t>
      </w:r>
    </w:p>
    <w:p>
      <w:r>
        <w:rPr>
          <w:color w:val="555555"/>
          <w:sz w:val="18"/>
        </w:rPr>
        <w:t xml:space="preserve">Gesetz über die Erhebung von Kirchensteuern im Land Nordrhein-Westfalen (Kirchensteuergesetz - KiStG);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Kirchensteuerordnungen und -beschlüsse bedürfen der staatlichen Anerkennung.</w:t>
      </w:r>
    </w:p>
    <w:p>
      <w:r>
        <w:t xml:space="preserve">(2) Liegt zu Beginn eines Steuerjahres ein anerkannter Kirchensteuerbeschluß nicht vor, so gilt für das Steuerjahr der vorjährige Kirchensteuerbeschluß weiter, bis ein neuer Kirchensteuerbeschluß anerkannt ist.</w:t>
      </w:r>
    </w:p>
    <w:p>
      <w:r>
        <w:rPr>
          <w:color w:val="555555"/>
          <w:sz w:val="17"/>
        </w:rPr>
        <w:t xml:space="preserve">Zitiervorschlag: § 16 NW_26715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https://recht.nulegal.eu/gesetze/NW_26715/16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